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bookmarkStart w:id="0" w:name="_GoBack"/>
    <w:p w:rsidR="00657363" w:rsidRDefault="00657363" w:rsidP="00657363">
      <w:pPr>
        <w:widowControl/>
        <w:jc w:val="center"/>
        <w:textAlignment w:val="baseline"/>
        <w:outlineLvl w:val="0"/>
        <w:rPr>
          <w:rFonts w:ascii="KaiTi" w:eastAsia="KaiTi" w:hAnsi="KaiTi" w:cs="Arial"/>
          <w:caps/>
          <w:color w:val="2B2B2B"/>
          <w:kern w:val="36"/>
          <w:sz w:val="40"/>
          <w:szCs w:val="50"/>
        </w:rPr>
      </w:pPr>
      <w:r w:rsidRPr="00657363">
        <w:rPr>
          <w:rFonts w:ascii="KaiTi" w:eastAsia="KaiTi" w:hAnsi="KaiTi" w:cs="Arial"/>
          <w:caps/>
          <w:color w:val="2B2B2B"/>
          <w:kern w:val="36"/>
          <w:sz w:val="40"/>
          <w:szCs w:val="50"/>
        </w:rPr>
        <w:fldChar w:fldCharType="begin"/>
      </w:r>
      <w:r w:rsidRPr="00657363">
        <w:rPr>
          <w:rFonts w:ascii="KaiTi" w:eastAsia="KaiTi" w:hAnsi="KaiTi" w:cs="Arial"/>
          <w:caps/>
          <w:color w:val="2B2B2B"/>
          <w:kern w:val="36"/>
          <w:sz w:val="40"/>
          <w:szCs w:val="50"/>
        </w:rPr>
        <w:instrText xml:space="preserve"> HYPERLINK "http://www.zuiming.net/1877.html" </w:instrText>
      </w:r>
      <w:r w:rsidRPr="00657363">
        <w:rPr>
          <w:rFonts w:ascii="KaiTi" w:eastAsia="KaiTi" w:hAnsi="KaiTi" w:cs="Arial"/>
          <w:caps/>
          <w:color w:val="2B2B2B"/>
          <w:kern w:val="36"/>
          <w:sz w:val="40"/>
          <w:szCs w:val="50"/>
        </w:rPr>
        <w:fldChar w:fldCharType="separate"/>
      </w:r>
      <w:r w:rsidRPr="00657363">
        <w:rPr>
          <w:rFonts w:ascii="KaiTi" w:eastAsia="KaiTi" w:hAnsi="KaiTi" w:cs="Arial"/>
          <w:caps/>
          <w:color w:val="2B2B2B"/>
          <w:kern w:val="36"/>
          <w:sz w:val="40"/>
          <w:szCs w:val="50"/>
          <w:bdr w:val="none" w:sz="0" w:space="0" w:color="auto" w:frame="1"/>
        </w:rPr>
        <w:t>留置空白支票承诺延期付款诈骗财物的行为如何定性</w:t>
      </w:r>
      <w:r w:rsidRPr="00657363">
        <w:rPr>
          <w:rFonts w:ascii="KaiTi" w:eastAsia="KaiTi" w:hAnsi="KaiTi" w:cs="Arial"/>
          <w:caps/>
          <w:color w:val="2B2B2B"/>
          <w:kern w:val="36"/>
          <w:sz w:val="40"/>
          <w:szCs w:val="50"/>
        </w:rPr>
        <w:fldChar w:fldCharType="end"/>
      </w:r>
      <w:r>
        <w:rPr>
          <w:rFonts w:ascii="KaiTi" w:eastAsia="KaiTi" w:hAnsi="KaiTi" w:cs="Arial" w:hint="eastAsia"/>
          <w:caps/>
          <w:color w:val="2B2B2B"/>
          <w:kern w:val="36"/>
          <w:sz w:val="40"/>
          <w:szCs w:val="50"/>
        </w:rPr>
        <w:t>？</w:t>
      </w:r>
    </w:p>
    <w:bookmarkEnd w:id="0"/>
    <w:p w:rsidR="00657363" w:rsidRPr="00657363" w:rsidRDefault="00657363" w:rsidP="00657363">
      <w:pPr>
        <w:pStyle w:val="a4"/>
        <w:spacing w:before="0" w:beforeAutospacing="0" w:after="180" w:afterAutospacing="0"/>
        <w:ind w:firstLine="480"/>
        <w:textAlignment w:val="baseline"/>
        <w:rPr>
          <w:rFonts w:ascii="KaiTi" w:eastAsia="KaiTi" w:hAnsi="KaiTi" w:cs="Arial"/>
          <w:color w:val="2B2B2B"/>
          <w:sz w:val="28"/>
        </w:rPr>
      </w:pPr>
      <w:r w:rsidRPr="00657363">
        <w:rPr>
          <w:rFonts w:ascii="KaiTi" w:eastAsia="KaiTi" w:hAnsi="KaiTi" w:cs="Arial"/>
          <w:color w:val="2B2B2B"/>
          <w:sz w:val="28"/>
        </w:rPr>
        <w:t>来源：人民法院报 作者：缪月娟</w:t>
      </w:r>
    </w:p>
    <w:p w:rsidR="00657363" w:rsidRPr="00657363" w:rsidRDefault="00657363" w:rsidP="00657363">
      <w:pPr>
        <w:pStyle w:val="a4"/>
        <w:spacing w:before="0" w:beforeAutospacing="0" w:after="180" w:afterAutospacing="0"/>
        <w:ind w:firstLine="480"/>
        <w:textAlignment w:val="baseline"/>
        <w:rPr>
          <w:rFonts w:ascii="KaiTi" w:eastAsia="KaiTi" w:hAnsi="KaiTi" w:cs="Arial"/>
          <w:color w:val="2B2B2B"/>
          <w:sz w:val="28"/>
        </w:rPr>
      </w:pPr>
      <w:r w:rsidRPr="00657363">
        <w:rPr>
          <w:rFonts w:ascii="KaiTi" w:eastAsia="KaiTi" w:hAnsi="KaiTi" w:cs="Arial"/>
          <w:color w:val="2B2B2B"/>
          <w:sz w:val="28"/>
        </w:rPr>
        <w:t>【案情回放】</w:t>
      </w:r>
      <w:r w:rsidRPr="00657363">
        <w:rPr>
          <w:rFonts w:ascii="KaiTi" w:eastAsia="KaiTi" w:hAnsi="KaiTi" w:cs="Arial"/>
          <w:color w:val="2B2B2B"/>
          <w:sz w:val="28"/>
        </w:rPr>
        <w:br/>
        <w:t>被告人殷某原系江苏省无锡市盛龙冷弯型钢有限公司的法定代表人，2010年3月19日该公司注销税务登记。2009年9月至10月，被告人殷某代表该公司先后与无锡永乾钢铁贸易有限公司、无锡千岛金属材料有限公司、</w:t>
      </w:r>
      <w:proofErr w:type="gramStart"/>
      <w:r w:rsidRPr="00657363">
        <w:rPr>
          <w:rFonts w:ascii="KaiTi" w:eastAsia="KaiTi" w:hAnsi="KaiTi" w:cs="Arial"/>
          <w:color w:val="2B2B2B"/>
          <w:sz w:val="28"/>
        </w:rPr>
        <w:t>无锡瑞马贸易</w:t>
      </w:r>
      <w:proofErr w:type="gramEnd"/>
      <w:r w:rsidRPr="00657363">
        <w:rPr>
          <w:rFonts w:ascii="KaiTi" w:eastAsia="KaiTi" w:hAnsi="KaiTi" w:cs="Arial"/>
          <w:color w:val="2B2B2B"/>
          <w:sz w:val="28"/>
        </w:rPr>
        <w:t>有限公司、无锡龙昌金属材料有限公司、无锡创龙贸易有限公司五家单位书面签订或口头达成带钢购买合同，然后，被告人殷某采用将空白支票留置上述五家单位，并承诺延期付款的方式，以每吨4450元至3490元不等的单价分别提取带钢327吨，</w:t>
      </w:r>
      <w:proofErr w:type="gramStart"/>
      <w:r w:rsidRPr="00657363">
        <w:rPr>
          <w:rFonts w:ascii="KaiTi" w:eastAsia="KaiTi" w:hAnsi="KaiTi" w:cs="Arial"/>
          <w:color w:val="2B2B2B"/>
          <w:sz w:val="28"/>
        </w:rPr>
        <w:t>带钢总</w:t>
      </w:r>
      <w:proofErr w:type="gramEnd"/>
      <w:r w:rsidRPr="00657363">
        <w:rPr>
          <w:rFonts w:ascii="KaiTi" w:eastAsia="KaiTi" w:hAnsi="KaiTi" w:cs="Arial"/>
          <w:color w:val="2B2B2B"/>
          <w:sz w:val="28"/>
        </w:rPr>
        <w:t>价值1051086元。提取带钢后，被告人殷某又以低价予以销售。</w:t>
      </w:r>
    </w:p>
    <w:p w:rsidR="00657363" w:rsidRPr="00657363" w:rsidRDefault="00657363" w:rsidP="00657363">
      <w:pPr>
        <w:pStyle w:val="a4"/>
        <w:spacing w:before="0" w:beforeAutospacing="0" w:after="0" w:afterAutospacing="0"/>
        <w:ind w:firstLine="480"/>
        <w:textAlignment w:val="baseline"/>
        <w:rPr>
          <w:rFonts w:ascii="KaiTi" w:eastAsia="KaiTi" w:hAnsi="KaiTi" w:cs="Arial"/>
          <w:color w:val="2B2B2B"/>
          <w:sz w:val="28"/>
        </w:rPr>
      </w:pPr>
      <w:r w:rsidRPr="00657363">
        <w:rPr>
          <w:rFonts w:ascii="KaiTi" w:eastAsia="KaiTi" w:hAnsi="KaiTi" w:cs="Arial"/>
          <w:color w:val="2B2B2B"/>
          <w:sz w:val="28"/>
        </w:rPr>
        <w:t>无锡市</w:t>
      </w:r>
      <w:proofErr w:type="gramStart"/>
      <w:r w:rsidRPr="00657363">
        <w:rPr>
          <w:rFonts w:ascii="KaiTi" w:eastAsia="KaiTi" w:hAnsi="KaiTi" w:cs="Arial"/>
          <w:color w:val="2B2B2B"/>
          <w:sz w:val="28"/>
        </w:rPr>
        <w:t>惠山区</w:t>
      </w:r>
      <w:proofErr w:type="gramEnd"/>
      <w:r w:rsidRPr="00657363">
        <w:rPr>
          <w:rFonts w:ascii="KaiTi" w:eastAsia="KaiTi" w:hAnsi="KaiTi" w:cs="Arial"/>
          <w:color w:val="2B2B2B"/>
          <w:sz w:val="28"/>
        </w:rPr>
        <w:t>检察院以票据</w:t>
      </w:r>
      <w:hyperlink r:id="rId4" w:tgtFrame="_blank" w:tooltip="点击跳转到罪名分类页面" w:history="1">
        <w:r w:rsidRPr="00657363">
          <w:rPr>
            <w:rStyle w:val="a3"/>
            <w:rFonts w:ascii="KaiTi" w:eastAsia="KaiTi" w:hAnsi="KaiTi" w:cs="Arial"/>
            <w:color w:val="24890D"/>
            <w:sz w:val="28"/>
            <w:bdr w:val="none" w:sz="0" w:space="0" w:color="auto" w:frame="1"/>
          </w:rPr>
          <w:t>诈骗罪</w:t>
        </w:r>
      </w:hyperlink>
      <w:r w:rsidRPr="00657363">
        <w:rPr>
          <w:rFonts w:ascii="KaiTi" w:eastAsia="KaiTi" w:hAnsi="KaiTi" w:cs="Arial"/>
          <w:color w:val="2B2B2B"/>
          <w:sz w:val="28"/>
        </w:rPr>
        <w:t>向</w:t>
      </w:r>
      <w:proofErr w:type="gramStart"/>
      <w:r w:rsidRPr="00657363">
        <w:rPr>
          <w:rFonts w:ascii="KaiTi" w:eastAsia="KaiTi" w:hAnsi="KaiTi" w:cs="Arial"/>
          <w:color w:val="2B2B2B"/>
          <w:sz w:val="28"/>
        </w:rPr>
        <w:t>惠山区</w:t>
      </w:r>
      <w:proofErr w:type="gramEnd"/>
      <w:r w:rsidRPr="00657363">
        <w:rPr>
          <w:rFonts w:ascii="KaiTi" w:eastAsia="KaiTi" w:hAnsi="KaiTi" w:cs="Arial"/>
          <w:color w:val="2B2B2B"/>
          <w:sz w:val="28"/>
        </w:rPr>
        <w:t>人民法院提起公诉。法院经审理认为，被告人殷某作为单位直接负责的主管人员，以非法占有为目的，在签订、履行合同过程中，采用向对方留置空白支票并承诺延期付款的方式，骗取他人财物，数额巨大，其行为已构成</w:t>
      </w:r>
      <w:hyperlink r:id="rId5" w:tgtFrame="_blank" w:tooltip="点击跳转到罪名分类页面" w:history="1">
        <w:r w:rsidRPr="00657363">
          <w:rPr>
            <w:rStyle w:val="a3"/>
            <w:rFonts w:ascii="KaiTi" w:eastAsia="KaiTi" w:hAnsi="KaiTi" w:cs="Arial"/>
            <w:color w:val="24890D"/>
            <w:sz w:val="28"/>
            <w:bdr w:val="none" w:sz="0" w:space="0" w:color="auto" w:frame="1"/>
          </w:rPr>
          <w:t>合同诈骗罪</w:t>
        </w:r>
      </w:hyperlink>
      <w:r w:rsidRPr="00657363">
        <w:rPr>
          <w:rFonts w:ascii="KaiTi" w:eastAsia="KaiTi" w:hAnsi="KaiTi" w:cs="Arial"/>
          <w:color w:val="2B2B2B"/>
          <w:sz w:val="28"/>
        </w:rPr>
        <w:t>。公诉机关指控的犯罪事实清楚，证据确实，但指控票据</w:t>
      </w:r>
      <w:hyperlink r:id="rId6" w:tgtFrame="_blank" w:tooltip="点击跳转到罪名分类页面" w:history="1">
        <w:r w:rsidRPr="00657363">
          <w:rPr>
            <w:rStyle w:val="a3"/>
            <w:rFonts w:ascii="KaiTi" w:eastAsia="KaiTi" w:hAnsi="KaiTi" w:cs="Arial"/>
            <w:color w:val="24890D"/>
            <w:sz w:val="28"/>
            <w:bdr w:val="none" w:sz="0" w:space="0" w:color="auto" w:frame="1"/>
          </w:rPr>
          <w:t>诈骗罪</w:t>
        </w:r>
      </w:hyperlink>
      <w:r w:rsidRPr="00657363">
        <w:rPr>
          <w:rFonts w:ascii="KaiTi" w:eastAsia="KaiTi" w:hAnsi="KaiTi" w:cs="Arial"/>
          <w:color w:val="2B2B2B"/>
          <w:sz w:val="28"/>
        </w:rPr>
        <w:t>罪名不当，应予纠正。归案后，被告人殷某能自愿认罪，悔罪表现较好，且已退赔全部赃款取得了被害单位的谅解，故可予以从轻处罚。被告人殷某的犯罪情节及悔罪表现。具备缓刑适用条件，故可宣告缓刑。遂判决：被告人殷某犯</w:t>
      </w:r>
      <w:hyperlink r:id="rId7" w:tgtFrame="_blank" w:tooltip="点击跳转到罪名分类页面" w:history="1">
        <w:r w:rsidRPr="00657363">
          <w:rPr>
            <w:rStyle w:val="a3"/>
            <w:rFonts w:ascii="KaiTi" w:eastAsia="KaiTi" w:hAnsi="KaiTi" w:cs="Arial"/>
            <w:color w:val="24890D"/>
            <w:sz w:val="28"/>
            <w:bdr w:val="none" w:sz="0" w:space="0" w:color="auto" w:frame="1"/>
          </w:rPr>
          <w:t>合同诈骗罪</w:t>
        </w:r>
      </w:hyperlink>
      <w:r w:rsidRPr="00657363">
        <w:rPr>
          <w:rFonts w:ascii="KaiTi" w:eastAsia="KaiTi" w:hAnsi="KaiTi" w:cs="Arial"/>
          <w:color w:val="2B2B2B"/>
          <w:sz w:val="28"/>
        </w:rPr>
        <w:t>，判处有期徒刑三年，缓刑五年，并处罚金30万元。</w:t>
      </w:r>
    </w:p>
    <w:p w:rsidR="00657363" w:rsidRPr="00657363" w:rsidRDefault="00657363" w:rsidP="00657363">
      <w:pPr>
        <w:pStyle w:val="a4"/>
        <w:spacing w:before="0" w:beforeAutospacing="0" w:after="180" w:afterAutospacing="0"/>
        <w:ind w:firstLine="480"/>
        <w:textAlignment w:val="baseline"/>
        <w:rPr>
          <w:rFonts w:ascii="KaiTi" w:eastAsia="KaiTi" w:hAnsi="KaiTi" w:cs="Arial"/>
          <w:color w:val="2B2B2B"/>
          <w:sz w:val="28"/>
        </w:rPr>
      </w:pPr>
      <w:r w:rsidRPr="00657363">
        <w:rPr>
          <w:rFonts w:ascii="KaiTi" w:eastAsia="KaiTi" w:hAnsi="KaiTi" w:cs="Arial"/>
          <w:color w:val="2B2B2B"/>
          <w:sz w:val="28"/>
        </w:rPr>
        <w:lastRenderedPageBreak/>
        <w:t>一审宣判后，被告人殷某未提起上诉，检察机关亦未提起抗诉，判决已发生法律效力。</w:t>
      </w:r>
    </w:p>
    <w:p w:rsidR="00657363" w:rsidRPr="00657363" w:rsidRDefault="00657363" w:rsidP="00657363">
      <w:pPr>
        <w:pStyle w:val="a4"/>
        <w:spacing w:before="0" w:beforeAutospacing="0" w:after="180" w:afterAutospacing="0"/>
        <w:ind w:firstLine="480"/>
        <w:textAlignment w:val="baseline"/>
        <w:rPr>
          <w:rFonts w:ascii="KaiTi" w:eastAsia="KaiTi" w:hAnsi="KaiTi" w:cs="Arial"/>
          <w:color w:val="2B2B2B"/>
          <w:sz w:val="28"/>
        </w:rPr>
      </w:pPr>
      <w:r w:rsidRPr="00657363">
        <w:rPr>
          <w:rFonts w:ascii="KaiTi" w:eastAsia="KaiTi" w:hAnsi="KaiTi" w:cs="Arial"/>
          <w:color w:val="2B2B2B"/>
          <w:sz w:val="28"/>
        </w:rPr>
        <w:t>【不同观点】</w:t>
      </w:r>
      <w:r w:rsidRPr="00657363">
        <w:rPr>
          <w:rFonts w:ascii="KaiTi" w:eastAsia="KaiTi" w:hAnsi="KaiTi" w:cs="Arial"/>
          <w:color w:val="2B2B2B"/>
          <w:sz w:val="28"/>
        </w:rPr>
        <w:br/>
        <w:t>对本案中被告人殷某在签订、履行经济合同过程中通过留置空白支票承诺延期付款诈骗财物行为如何定性，控辩双方存在不同观点。</w:t>
      </w:r>
    </w:p>
    <w:p w:rsidR="00657363" w:rsidRPr="00657363" w:rsidRDefault="00657363" w:rsidP="00657363">
      <w:pPr>
        <w:pStyle w:val="a4"/>
        <w:spacing w:before="0" w:beforeAutospacing="0" w:after="0" w:afterAutospacing="0"/>
        <w:ind w:firstLine="480"/>
        <w:textAlignment w:val="baseline"/>
        <w:rPr>
          <w:rFonts w:ascii="KaiTi" w:eastAsia="KaiTi" w:hAnsi="KaiTi" w:cs="Arial"/>
          <w:color w:val="2B2B2B"/>
          <w:sz w:val="28"/>
        </w:rPr>
      </w:pPr>
      <w:r w:rsidRPr="00657363">
        <w:rPr>
          <w:rFonts w:ascii="KaiTi" w:eastAsia="KaiTi" w:hAnsi="KaiTi" w:cs="Arial"/>
          <w:color w:val="2B2B2B"/>
          <w:sz w:val="28"/>
        </w:rPr>
        <w:t>公诉方：被告人殷某的行为构成票据</w:t>
      </w:r>
      <w:hyperlink r:id="rId8" w:tgtFrame="_blank" w:tooltip="点击跳转到罪名分类页面" w:history="1">
        <w:r w:rsidRPr="00657363">
          <w:rPr>
            <w:rStyle w:val="a3"/>
            <w:rFonts w:ascii="KaiTi" w:eastAsia="KaiTi" w:hAnsi="KaiTi" w:cs="Arial"/>
            <w:color w:val="24890D"/>
            <w:sz w:val="28"/>
            <w:bdr w:val="none" w:sz="0" w:space="0" w:color="auto" w:frame="1"/>
          </w:rPr>
          <w:t>诈骗罪</w:t>
        </w:r>
      </w:hyperlink>
      <w:r w:rsidRPr="00657363">
        <w:rPr>
          <w:rFonts w:ascii="KaiTi" w:eastAsia="KaiTi" w:hAnsi="KaiTi" w:cs="Arial"/>
          <w:color w:val="2B2B2B"/>
          <w:sz w:val="28"/>
        </w:rPr>
        <w:t>。票据诈骗罪的客观方面表现为利用金融票据进行诈骗活动，骗取财物数额较大的行为。根据我国</w:t>
      </w:r>
      <w:hyperlink r:id="rId9" w:tgtFrame="_blank" w:tooltip="点击查看刑法条文" w:history="1">
        <w:r w:rsidRPr="00657363">
          <w:rPr>
            <w:rStyle w:val="a3"/>
            <w:rFonts w:ascii="KaiTi" w:eastAsia="KaiTi" w:hAnsi="KaiTi" w:cs="Arial"/>
            <w:color w:val="24890D"/>
            <w:sz w:val="28"/>
            <w:bdr w:val="none" w:sz="0" w:space="0" w:color="auto" w:frame="1"/>
          </w:rPr>
          <w:t>刑法</w:t>
        </w:r>
      </w:hyperlink>
      <w:r w:rsidRPr="00657363">
        <w:rPr>
          <w:rFonts w:ascii="KaiTi" w:eastAsia="KaiTi" w:hAnsi="KaiTi" w:cs="Arial"/>
          <w:color w:val="2B2B2B"/>
          <w:sz w:val="28"/>
        </w:rPr>
        <w:t>第一百九十四条第一款第（四）项之规定，“签发空头支票，骗取财物”，数额较大的，构成票据诈骗罪。本案殷某在明知没有履约能力的情况下，多次用没有资金保证的空头支票作为支付工具，向被害人承诺延期付款，骗取被害人的信任以诈骗财物，数额特别巨大，不仅侵犯了被害人的财物所有权，还侵犯了国家的金融管理制度，其行为符合票据诈骗罪主客观方面的构成要件，应以票据诈骗罪沦处。</w:t>
      </w:r>
    </w:p>
    <w:p w:rsidR="00657363" w:rsidRPr="00657363" w:rsidRDefault="00657363" w:rsidP="00657363">
      <w:pPr>
        <w:pStyle w:val="a4"/>
        <w:spacing w:before="0" w:beforeAutospacing="0" w:after="0" w:afterAutospacing="0"/>
        <w:ind w:firstLine="480"/>
        <w:textAlignment w:val="baseline"/>
        <w:rPr>
          <w:rFonts w:ascii="KaiTi" w:eastAsia="KaiTi" w:hAnsi="KaiTi" w:cs="Arial"/>
          <w:color w:val="2B2B2B"/>
          <w:sz w:val="28"/>
        </w:rPr>
      </w:pPr>
      <w:r w:rsidRPr="00657363">
        <w:rPr>
          <w:rFonts w:ascii="KaiTi" w:eastAsia="KaiTi" w:hAnsi="KaiTi" w:cs="Arial"/>
          <w:color w:val="2B2B2B"/>
          <w:sz w:val="28"/>
        </w:rPr>
        <w:t>辩护方：被告人殷某的行为构成合同诈骗罪。我国</w:t>
      </w:r>
      <w:hyperlink r:id="rId10" w:tgtFrame="_blank" w:tooltip="点击查看刑法条文" w:history="1">
        <w:r w:rsidRPr="00657363">
          <w:rPr>
            <w:rStyle w:val="a3"/>
            <w:rFonts w:ascii="KaiTi" w:eastAsia="KaiTi" w:hAnsi="KaiTi" w:cs="Arial"/>
            <w:color w:val="24890D"/>
            <w:sz w:val="28"/>
            <w:bdr w:val="none" w:sz="0" w:space="0" w:color="auto" w:frame="1"/>
          </w:rPr>
          <w:t>刑法</w:t>
        </w:r>
      </w:hyperlink>
      <w:r w:rsidRPr="00657363">
        <w:rPr>
          <w:rFonts w:ascii="KaiTi" w:eastAsia="KaiTi" w:hAnsi="KaiTi" w:cs="Arial"/>
          <w:color w:val="2B2B2B"/>
          <w:sz w:val="28"/>
        </w:rPr>
        <w:t>第二百二十四条</w:t>
      </w:r>
      <w:proofErr w:type="gramStart"/>
      <w:r w:rsidRPr="00657363">
        <w:rPr>
          <w:rFonts w:ascii="KaiTi" w:eastAsia="KaiTi" w:hAnsi="KaiTi" w:cs="Arial"/>
          <w:color w:val="2B2B2B"/>
          <w:sz w:val="28"/>
        </w:rPr>
        <w:t>例举</w:t>
      </w:r>
      <w:proofErr w:type="gramEnd"/>
      <w:r w:rsidRPr="00657363">
        <w:rPr>
          <w:rFonts w:ascii="KaiTi" w:eastAsia="KaiTi" w:hAnsi="KaiTi" w:cs="Arial"/>
          <w:color w:val="2B2B2B"/>
          <w:sz w:val="28"/>
        </w:rPr>
        <w:t>了合同诈骗罪的四种具体行为表现方式，并用“以其他方法骗取对方当事人财物的”涵盖了</w:t>
      </w:r>
      <w:proofErr w:type="gramStart"/>
      <w:r w:rsidRPr="00657363">
        <w:rPr>
          <w:rFonts w:ascii="KaiTi" w:eastAsia="KaiTi" w:hAnsi="KaiTi" w:cs="Arial"/>
          <w:color w:val="2B2B2B"/>
          <w:sz w:val="28"/>
        </w:rPr>
        <w:t>其他利用</w:t>
      </w:r>
      <w:proofErr w:type="gramEnd"/>
      <w:r w:rsidRPr="00657363">
        <w:rPr>
          <w:rFonts w:ascii="KaiTi" w:eastAsia="KaiTi" w:hAnsi="KaiTi" w:cs="Arial"/>
          <w:color w:val="2B2B2B"/>
          <w:sz w:val="28"/>
        </w:rPr>
        <w:t>经济合同进行诈骗的形形色色情况。该条规定“以虚假的产权证明作担保”是该罪的犯罪手段之一，犯罪分子为了取得对方当事人的信任，以虚假的产权证明作担保，以达到利用合同骗取钱财的目的。本案中，被告人采用了将空白支票留置在被害人</w:t>
      </w:r>
      <w:proofErr w:type="gramStart"/>
      <w:r w:rsidRPr="00657363">
        <w:rPr>
          <w:rFonts w:ascii="KaiTi" w:eastAsia="KaiTi" w:hAnsi="KaiTi" w:cs="Arial"/>
          <w:color w:val="2B2B2B"/>
          <w:sz w:val="28"/>
        </w:rPr>
        <w:t>处承诺</w:t>
      </w:r>
      <w:proofErr w:type="gramEnd"/>
      <w:r w:rsidRPr="00657363">
        <w:rPr>
          <w:rFonts w:ascii="KaiTi" w:eastAsia="KaiTi" w:hAnsi="KaiTi" w:cs="Arial"/>
          <w:color w:val="2B2B2B"/>
          <w:sz w:val="28"/>
        </w:rPr>
        <w:t>延期付款的方式，这里的票据更多的体现</w:t>
      </w:r>
      <w:r w:rsidRPr="00657363">
        <w:rPr>
          <w:rFonts w:ascii="KaiTi" w:eastAsia="KaiTi" w:hAnsi="KaiTi" w:cs="Arial"/>
          <w:color w:val="2B2B2B"/>
          <w:sz w:val="28"/>
        </w:rPr>
        <w:lastRenderedPageBreak/>
        <w:t>了一种保证作用，以此取得被害人信任，利用合同骗取财物，其行为符合合同诈骗罪的特征。</w:t>
      </w:r>
    </w:p>
    <w:p w:rsidR="00657363" w:rsidRPr="00657363" w:rsidRDefault="00657363" w:rsidP="00657363">
      <w:pPr>
        <w:pStyle w:val="a4"/>
        <w:spacing w:before="0" w:beforeAutospacing="0" w:after="180" w:afterAutospacing="0"/>
        <w:ind w:firstLine="480"/>
        <w:textAlignment w:val="baseline"/>
        <w:rPr>
          <w:rFonts w:ascii="KaiTi" w:eastAsia="KaiTi" w:hAnsi="KaiTi" w:cs="Arial"/>
          <w:color w:val="2B2B2B"/>
          <w:sz w:val="28"/>
        </w:rPr>
      </w:pPr>
      <w:r w:rsidRPr="00657363">
        <w:rPr>
          <w:rFonts w:ascii="KaiTi" w:eastAsia="KaiTi" w:hAnsi="KaiTi" w:cs="Arial"/>
          <w:color w:val="2B2B2B"/>
          <w:sz w:val="28"/>
        </w:rPr>
        <w:t>一审法院：被告人殷某作为单位直接负责的主管人员，以非法占有为目的，以单位名义与他人书面签订或口头达成带钢购销合同后，在履行过是中，采用向对方留置空白支票并承诺延期付款的方式，骗取他人财物，数额巨大，其行为已构成合同诈骗罪。公诉机关指控的犯罪事实清楚，证据确实，但指控票据诈骗罪罪名不当，应予纠正。</w:t>
      </w:r>
    </w:p>
    <w:p w:rsidR="00657363" w:rsidRPr="00657363" w:rsidRDefault="00657363" w:rsidP="00657363">
      <w:pPr>
        <w:pStyle w:val="a4"/>
        <w:spacing w:before="0" w:beforeAutospacing="0" w:after="180" w:afterAutospacing="0"/>
        <w:ind w:firstLine="480"/>
        <w:textAlignment w:val="baseline"/>
        <w:rPr>
          <w:rFonts w:ascii="KaiTi" w:eastAsia="KaiTi" w:hAnsi="KaiTi" w:cs="Arial"/>
          <w:color w:val="2B2B2B"/>
          <w:sz w:val="28"/>
        </w:rPr>
      </w:pPr>
      <w:r w:rsidRPr="00657363">
        <w:rPr>
          <w:rFonts w:ascii="KaiTi" w:eastAsia="KaiTi" w:hAnsi="KaiTi" w:cs="Arial"/>
          <w:color w:val="2B2B2B"/>
          <w:sz w:val="28"/>
        </w:rPr>
        <w:t>【法官点评】</w:t>
      </w:r>
      <w:r w:rsidRPr="00657363">
        <w:rPr>
          <w:rFonts w:ascii="KaiTi" w:eastAsia="KaiTi" w:hAnsi="KaiTi" w:cs="Arial"/>
          <w:color w:val="2B2B2B"/>
          <w:sz w:val="28"/>
        </w:rPr>
        <w:br/>
        <w:t>本案被告人骗取财物与票据本身没有直接的因果关系</w:t>
      </w:r>
    </w:p>
    <w:p w:rsidR="00657363" w:rsidRPr="00657363" w:rsidRDefault="00657363" w:rsidP="00657363">
      <w:pPr>
        <w:pStyle w:val="a4"/>
        <w:spacing w:before="0" w:beforeAutospacing="0" w:after="180" w:afterAutospacing="0"/>
        <w:ind w:firstLine="480"/>
        <w:textAlignment w:val="baseline"/>
        <w:rPr>
          <w:rFonts w:ascii="KaiTi" w:eastAsia="KaiTi" w:hAnsi="KaiTi" w:cs="Arial"/>
          <w:color w:val="2B2B2B"/>
          <w:sz w:val="28"/>
        </w:rPr>
      </w:pPr>
      <w:r w:rsidRPr="00657363">
        <w:rPr>
          <w:rFonts w:ascii="KaiTi" w:eastAsia="KaiTi" w:hAnsi="KaiTi" w:cs="Arial"/>
          <w:color w:val="2B2B2B"/>
          <w:sz w:val="28"/>
        </w:rPr>
        <w:t>笔者认为，本案中，被告人殷某的行为构成合同诈骗罪。具体理由如下：</w:t>
      </w:r>
    </w:p>
    <w:p w:rsidR="00657363" w:rsidRPr="00657363" w:rsidRDefault="00657363" w:rsidP="00657363">
      <w:pPr>
        <w:pStyle w:val="a4"/>
        <w:spacing w:before="0" w:beforeAutospacing="0" w:after="180" w:afterAutospacing="0"/>
        <w:ind w:firstLine="480"/>
        <w:textAlignment w:val="baseline"/>
        <w:rPr>
          <w:rFonts w:ascii="KaiTi" w:eastAsia="KaiTi" w:hAnsi="KaiTi" w:cs="Arial"/>
          <w:color w:val="2B2B2B"/>
          <w:sz w:val="28"/>
        </w:rPr>
      </w:pPr>
      <w:r w:rsidRPr="00657363">
        <w:rPr>
          <w:rFonts w:ascii="KaiTi" w:eastAsia="KaiTi" w:hAnsi="KaiTi" w:cs="Arial"/>
          <w:color w:val="2B2B2B"/>
          <w:sz w:val="28"/>
        </w:rPr>
        <w:t>1．被告人殷某主观上具有“非法占有的目的”</w:t>
      </w:r>
      <w:r w:rsidRPr="00657363">
        <w:rPr>
          <w:rFonts w:ascii="KaiTi" w:eastAsia="KaiTi" w:hAnsi="KaiTi" w:cs="Arial"/>
          <w:color w:val="2B2B2B"/>
          <w:sz w:val="28"/>
        </w:rPr>
        <w:br/>
        <w:t>诈骗类犯罪由于手段的多样性、隐蔽性及复杂性等特征，加上许多犯罪嫌疑人在主观上否认自身的犯罪意图，在实务中常常难以甄别。如何认定被告人主观上具有“非法占有的目的”，成为困扰司法实践的一大难题。对此，2001年最高人民法院《全国法院审理金融犯罪案件工作座谈会纪要》（以下简称《纪要》）明确规定了七种情形可以作为认定“非法占有目的”的依据：（1）明知没有归还能力而大量骗取资金的；（2）非法获取资金后逃跑的；（3）肆意挥霍骗取资金的；（4）使用骗取的资金进行违法犯罪活动的；（5）抽逃、转移资金、隐匿财产，以逃避返还资金的；（6）隐匿、销毁账目，或者搞</w:t>
      </w:r>
      <w:r w:rsidRPr="00657363">
        <w:rPr>
          <w:rFonts w:ascii="KaiTi" w:eastAsia="KaiTi" w:hAnsi="KaiTi" w:cs="Arial"/>
          <w:color w:val="2B2B2B"/>
          <w:sz w:val="28"/>
        </w:rPr>
        <w:lastRenderedPageBreak/>
        <w:t>假破产、假倒闭，以逃避返还资金的；（7）其他非法占有资金、拒不返还的行为。</w:t>
      </w:r>
    </w:p>
    <w:p w:rsidR="00657363" w:rsidRPr="00657363" w:rsidRDefault="00657363" w:rsidP="00657363">
      <w:pPr>
        <w:pStyle w:val="a4"/>
        <w:spacing w:before="0" w:beforeAutospacing="0" w:after="180" w:afterAutospacing="0"/>
        <w:ind w:firstLine="480"/>
        <w:textAlignment w:val="baseline"/>
        <w:rPr>
          <w:rFonts w:ascii="KaiTi" w:eastAsia="KaiTi" w:hAnsi="KaiTi" w:cs="Arial"/>
          <w:color w:val="2B2B2B"/>
          <w:sz w:val="28"/>
        </w:rPr>
      </w:pPr>
      <w:r w:rsidRPr="00657363">
        <w:rPr>
          <w:rFonts w:ascii="KaiTi" w:eastAsia="KaiTi" w:hAnsi="KaiTi" w:cs="Arial"/>
          <w:color w:val="2B2B2B"/>
          <w:sz w:val="28"/>
        </w:rPr>
        <w:t>从本案被告人的行为分析，首先，被告人虽然与被害人间有口头或书面的钢材购销合同，但当时其公司已严重资不抵债，被告人在明知自己没有履约能力，明知当时其公司账上无款且其不可能按约定将钱打到账上，仍向他人签发到期不能实现权利的支票，其承诺延期付款只是缓兵之计，目的是以此骗取被害人信任，让其得以顺利提走货物。其次，从赃物的去向看，其在购进钢材后，并没有用于正常生产经营，而是转手即以低价转卖并将钱款用以还债等；再次，被告人在公司亏空严重，众多债权人催讨的情况下，采取了手机关机，卖掉厂内资产后逃至外地的做法。对照《纪要》规定的</w:t>
      </w:r>
      <w:proofErr w:type="gramStart"/>
      <w:r w:rsidRPr="00657363">
        <w:rPr>
          <w:rFonts w:ascii="KaiTi" w:eastAsia="KaiTi" w:hAnsi="KaiTi" w:cs="Arial"/>
          <w:color w:val="2B2B2B"/>
          <w:sz w:val="28"/>
        </w:rPr>
        <w:t>惰</w:t>
      </w:r>
      <w:proofErr w:type="gramEnd"/>
      <w:r w:rsidRPr="00657363">
        <w:rPr>
          <w:rFonts w:ascii="KaiTi" w:eastAsia="KaiTi" w:hAnsi="KaiTi" w:cs="Arial"/>
          <w:color w:val="2B2B2B"/>
          <w:sz w:val="28"/>
        </w:rPr>
        <w:t>形，被告人的上述行为已足以认定其主观上具有“非法占有的目的”，至于其之前与本案被害人有正常的生意往来并不影响本案的认定。</w:t>
      </w:r>
    </w:p>
    <w:p w:rsidR="00657363" w:rsidRPr="00657363" w:rsidRDefault="00657363" w:rsidP="00657363">
      <w:pPr>
        <w:pStyle w:val="a4"/>
        <w:spacing w:before="0" w:beforeAutospacing="0" w:after="180" w:afterAutospacing="0"/>
        <w:ind w:firstLine="480"/>
        <w:textAlignment w:val="baseline"/>
        <w:rPr>
          <w:rFonts w:ascii="KaiTi" w:eastAsia="KaiTi" w:hAnsi="KaiTi" w:cs="Arial"/>
          <w:color w:val="2B2B2B"/>
          <w:sz w:val="28"/>
        </w:rPr>
      </w:pPr>
      <w:r w:rsidRPr="00657363">
        <w:rPr>
          <w:rFonts w:ascii="KaiTi" w:eastAsia="KaiTi" w:hAnsi="KaiTi" w:cs="Arial"/>
          <w:color w:val="2B2B2B"/>
          <w:sz w:val="28"/>
        </w:rPr>
        <w:t>2．被告人殷某的客观行为符合合同诈骗罪的行为特征</w:t>
      </w:r>
      <w:r w:rsidRPr="00657363">
        <w:rPr>
          <w:rFonts w:ascii="KaiTi" w:eastAsia="KaiTi" w:hAnsi="KaiTi" w:cs="Arial"/>
          <w:color w:val="2B2B2B"/>
          <w:sz w:val="28"/>
        </w:rPr>
        <w:br/>
        <w:t>在认定被告入主观故意的前提下，纵观本案被告人的客观行为，其行为方式呈现多样性，既有与</w:t>
      </w:r>
      <w:proofErr w:type="gramStart"/>
      <w:r w:rsidRPr="00657363">
        <w:rPr>
          <w:rFonts w:ascii="KaiTi" w:eastAsia="KaiTi" w:hAnsi="KaiTi" w:cs="Arial"/>
          <w:color w:val="2B2B2B"/>
          <w:sz w:val="28"/>
        </w:rPr>
        <w:t>被窖人</w:t>
      </w:r>
      <w:proofErr w:type="gramEnd"/>
      <w:r w:rsidRPr="00657363">
        <w:rPr>
          <w:rFonts w:ascii="KaiTi" w:eastAsia="KaiTi" w:hAnsi="KaiTi" w:cs="Arial"/>
          <w:color w:val="2B2B2B"/>
          <w:sz w:val="28"/>
        </w:rPr>
        <w:t>的口头或书面的经济合同，同时在此过程中又开具了账上无款的空白银行转账支票。对上述行为是定合同诈骗罪还是票据诈骗罪，笔者认为实践中不能一概而论，而是要通过对个案的具体分析，透过现象去看本质。特别是在多种行为方式交叉的犯罪中，判断定罪不仅要从行为人的主观故意、犯罪侵犯的客体，还要从起关键作用的犯罪手段等来一并</w:t>
      </w:r>
      <w:proofErr w:type="gramStart"/>
      <w:r w:rsidRPr="00657363">
        <w:rPr>
          <w:rFonts w:ascii="KaiTi" w:eastAsia="KaiTi" w:hAnsi="KaiTi" w:cs="Arial"/>
          <w:color w:val="2B2B2B"/>
          <w:sz w:val="28"/>
        </w:rPr>
        <w:t>考量</w:t>
      </w:r>
      <w:proofErr w:type="gramEnd"/>
      <w:r w:rsidRPr="00657363">
        <w:rPr>
          <w:rFonts w:ascii="KaiTi" w:eastAsia="KaiTi" w:hAnsi="KaiTi" w:cs="Arial"/>
          <w:color w:val="2B2B2B"/>
          <w:sz w:val="28"/>
        </w:rPr>
        <w:t>。</w:t>
      </w:r>
    </w:p>
    <w:p w:rsidR="00657363" w:rsidRPr="00657363" w:rsidRDefault="00657363" w:rsidP="00657363">
      <w:pPr>
        <w:pStyle w:val="a4"/>
        <w:spacing w:before="0" w:beforeAutospacing="0" w:after="180" w:afterAutospacing="0"/>
        <w:ind w:firstLine="480"/>
        <w:textAlignment w:val="baseline"/>
        <w:rPr>
          <w:rFonts w:ascii="KaiTi" w:eastAsia="KaiTi" w:hAnsi="KaiTi" w:cs="Arial"/>
          <w:color w:val="2B2B2B"/>
          <w:sz w:val="28"/>
        </w:rPr>
      </w:pPr>
      <w:r w:rsidRPr="00657363">
        <w:rPr>
          <w:rFonts w:ascii="KaiTi" w:eastAsia="KaiTi" w:hAnsi="KaiTi" w:cs="Arial"/>
          <w:color w:val="2B2B2B"/>
          <w:sz w:val="28"/>
        </w:rPr>
        <w:lastRenderedPageBreak/>
        <w:t>第一，考察被告人采用了何种行为方式，以及这种方式是否足使对被害人信以为真，骗取财物。经多名被害人证实，之前均与被告人有多年的业务往来，存在一定的信任基础。被告人提货时将空白的银行转账支票交给被害人，承诺若干天后账上会有相应钱款。被害人在拿到支票当时亦知道账上无款的情况，但相信被告人所说几天后款项会按约进账。据了解，这种做法也是当地做钢材生意的行规和交易中的惯例，所不同的是，之前被告人都是按照约定到期如数解款，而本案中并没有按约履行罢了。可以看出，被害人之所以让被告人提走合</w:t>
      </w:r>
      <w:proofErr w:type="gramStart"/>
      <w:r w:rsidRPr="00657363">
        <w:rPr>
          <w:rFonts w:ascii="KaiTi" w:eastAsia="KaiTi" w:hAnsi="KaiTi" w:cs="Arial"/>
          <w:color w:val="2B2B2B"/>
          <w:sz w:val="28"/>
        </w:rPr>
        <w:t>同相应</w:t>
      </w:r>
      <w:proofErr w:type="gramEnd"/>
      <w:r w:rsidRPr="00657363">
        <w:rPr>
          <w:rFonts w:ascii="KaiTi" w:eastAsia="KaiTi" w:hAnsi="KaiTi" w:cs="Arial"/>
          <w:color w:val="2B2B2B"/>
          <w:sz w:val="28"/>
        </w:rPr>
        <w:t>货物，根本上是由于被告人之前生意中的诚信，基于对双方合同的依赖，而不是仅仅出于对票据本身的一种认识错误，应该说，前者是被害人同意被告人提走货物的</w:t>
      </w:r>
      <w:proofErr w:type="gramStart"/>
      <w:r w:rsidRPr="00657363">
        <w:rPr>
          <w:rFonts w:ascii="KaiTi" w:eastAsia="KaiTi" w:hAnsi="KaiTi" w:cs="Arial"/>
          <w:color w:val="2B2B2B"/>
          <w:sz w:val="28"/>
        </w:rPr>
        <w:t>决定因</w:t>
      </w:r>
      <w:proofErr w:type="gramEnd"/>
      <w:r w:rsidRPr="00657363">
        <w:rPr>
          <w:rFonts w:ascii="KaiTi" w:eastAsia="KaiTi" w:hAnsi="KaiTi" w:cs="Arial"/>
          <w:color w:val="2B2B2B"/>
          <w:sz w:val="28"/>
        </w:rPr>
        <w:t>索，本案中的票据充其量只起到了辅助性的保证作用。</w:t>
      </w:r>
    </w:p>
    <w:p w:rsidR="00657363" w:rsidRPr="00657363" w:rsidRDefault="00657363" w:rsidP="00657363">
      <w:pPr>
        <w:pStyle w:val="a4"/>
        <w:spacing w:before="0" w:beforeAutospacing="0" w:after="180" w:afterAutospacing="0"/>
        <w:ind w:firstLine="480"/>
        <w:textAlignment w:val="baseline"/>
        <w:rPr>
          <w:rFonts w:ascii="KaiTi" w:eastAsia="KaiTi" w:hAnsi="KaiTi" w:cs="Arial"/>
          <w:color w:val="2B2B2B"/>
          <w:sz w:val="28"/>
        </w:rPr>
      </w:pPr>
      <w:r w:rsidRPr="00657363">
        <w:rPr>
          <w:rFonts w:ascii="KaiTi" w:eastAsia="KaiTi" w:hAnsi="KaiTi" w:cs="Arial"/>
          <w:color w:val="2B2B2B"/>
          <w:sz w:val="28"/>
        </w:rPr>
        <w:t>第二，考察本案票据的性质和作用。本案中，被告人向被害人留置的银行转账支票带有印鉴，出票日期或空白，或事先由被告人预先填好付款日期，支票上收款人及金额栏均为空白。被告人在提货时将上述支票交付被害人，由被害人自行填好日期、收款人和合同金额事项后至银行实现票据权利。</w:t>
      </w:r>
    </w:p>
    <w:p w:rsidR="00657363" w:rsidRPr="00657363" w:rsidRDefault="00657363" w:rsidP="00657363">
      <w:pPr>
        <w:pStyle w:val="a4"/>
        <w:spacing w:before="0" w:beforeAutospacing="0" w:after="180" w:afterAutospacing="0"/>
        <w:ind w:firstLine="480"/>
        <w:textAlignment w:val="baseline"/>
        <w:rPr>
          <w:rFonts w:ascii="KaiTi" w:eastAsia="KaiTi" w:hAnsi="KaiTi" w:cs="Arial"/>
          <w:color w:val="2B2B2B"/>
          <w:sz w:val="28"/>
        </w:rPr>
      </w:pPr>
      <w:r w:rsidRPr="00657363">
        <w:rPr>
          <w:rFonts w:ascii="KaiTi" w:eastAsia="KaiTi" w:hAnsi="KaiTi" w:cs="Arial"/>
          <w:color w:val="2B2B2B"/>
          <w:sz w:val="28"/>
        </w:rPr>
        <w:t>对本案被告人交付的上述支票是否认定为法律意义上的“空头支票”，是区别票据诈骗罪和合同诈骗罪的关键。所谓空头支票，是指支票持有人请求付款时，出票人在付款人处实有的存款不足以支付票据金额的支票。本案中，由于被告人交付给被害入的票据金额尚未填写，笔者认为，交付当时该支票并不能定义为空头支票，其性质只</w:t>
      </w:r>
      <w:r w:rsidRPr="00657363">
        <w:rPr>
          <w:rFonts w:ascii="KaiTi" w:eastAsia="KaiTi" w:hAnsi="KaiTi" w:cs="Arial"/>
          <w:color w:val="2B2B2B"/>
          <w:sz w:val="28"/>
        </w:rPr>
        <w:lastRenderedPageBreak/>
        <w:t>是属于空白支票。所谓空白支票，是指在支票出票时，对若干必要记载事项未进行记载，即完成任务签章并予以交付，而授权他人在其后进行补记，经补记后才使其有效成立的支票。空白支票是为票据法所允许和流通领域认可的。所以，认为本案被告人签发空头支票，利用空头支票诈骗从而构成票据诈骗罪，实际上是混淆了空白支票和空头支票的概念。从本案票据的作用来看，由于提货时约定的票据付款日期未到，票据在被告人取财时并未起到支付作用，实际仅为被告人用以搪塞被害人的工具。被害人在拿到票据时对当时账上没有钱款的情况是明知且认可的，故本案被告人骗取财物与票据本身没有直接的因果关系，也就更不存在被告人凭空头支票诈骗财物之说。</w:t>
      </w:r>
    </w:p>
    <w:p w:rsidR="00657363" w:rsidRPr="00657363" w:rsidRDefault="00657363" w:rsidP="00657363">
      <w:pPr>
        <w:pStyle w:val="a4"/>
        <w:spacing w:before="0" w:beforeAutospacing="0" w:after="180" w:afterAutospacing="0"/>
        <w:ind w:firstLine="480"/>
        <w:textAlignment w:val="baseline"/>
        <w:rPr>
          <w:rFonts w:ascii="KaiTi" w:eastAsia="KaiTi" w:hAnsi="KaiTi" w:cs="Arial"/>
          <w:color w:val="2B2B2B"/>
          <w:sz w:val="28"/>
        </w:rPr>
      </w:pPr>
      <w:r w:rsidRPr="00657363">
        <w:rPr>
          <w:rFonts w:ascii="KaiTi" w:eastAsia="KaiTi" w:hAnsi="KaiTi" w:cs="Arial"/>
          <w:color w:val="2B2B2B"/>
          <w:sz w:val="28"/>
        </w:rPr>
        <w:t>3．从罪刑相适应的角度考虑，本案以合同诈骗罪</w:t>
      </w:r>
      <w:proofErr w:type="gramStart"/>
      <w:r w:rsidRPr="00657363">
        <w:rPr>
          <w:rFonts w:ascii="KaiTi" w:eastAsia="KaiTi" w:hAnsi="KaiTi" w:cs="Arial"/>
          <w:color w:val="2B2B2B"/>
          <w:sz w:val="28"/>
        </w:rPr>
        <w:t>论处罚当</w:t>
      </w:r>
      <w:proofErr w:type="gramEnd"/>
      <w:r w:rsidRPr="00657363">
        <w:rPr>
          <w:rFonts w:ascii="KaiTi" w:eastAsia="KaiTi" w:hAnsi="KaiTi" w:cs="Arial"/>
          <w:color w:val="2B2B2B"/>
          <w:sz w:val="28"/>
        </w:rPr>
        <w:t>其罪</w:t>
      </w:r>
      <w:r w:rsidRPr="00657363">
        <w:rPr>
          <w:rFonts w:ascii="KaiTi" w:eastAsia="KaiTi" w:hAnsi="KaiTi" w:cs="Arial"/>
          <w:color w:val="2B2B2B"/>
          <w:sz w:val="28"/>
        </w:rPr>
        <w:br/>
        <w:t>根据法律规定，本案对被告人如以票据诈骗论处量刑应为十年以上。而以合同诈骗定罪，量刑则在三年至十年内，应该说，两罪的量刑差异较大，慎重定罪尤为重要。本案中，被告人之前与被害人有多年业务往来，信誉一贯良好，后因经营不善等因素导致资不抵债，陷入债务危机，不得已而“拆东墙补西墙”填补亏空，以致走上犯罪道路。案破后，被告人悔罪表现较好，家属也经多方筹借，将本案赃款全部退赔给被害人，挽回了被害人的经济损失，得到被害人的谅解。如以票据诈骗定罪在十年以上量刑，势必导致罪刑严重不相适应。</w:t>
      </w:r>
    </w:p>
    <w:p w:rsidR="00657363" w:rsidRPr="00657363" w:rsidRDefault="00657363" w:rsidP="00657363">
      <w:pPr>
        <w:pStyle w:val="a4"/>
        <w:spacing w:before="0" w:beforeAutospacing="0" w:after="0" w:afterAutospacing="0"/>
        <w:ind w:firstLine="480"/>
        <w:textAlignment w:val="baseline"/>
        <w:rPr>
          <w:rFonts w:ascii="KaiTi" w:eastAsia="KaiTi" w:hAnsi="KaiTi" w:cs="Arial"/>
          <w:color w:val="2B2B2B"/>
          <w:sz w:val="28"/>
        </w:rPr>
      </w:pPr>
      <w:r w:rsidRPr="00657363">
        <w:rPr>
          <w:rFonts w:ascii="KaiTi" w:eastAsia="KaiTi" w:hAnsi="KaiTi" w:cs="Arial"/>
          <w:color w:val="2B2B2B"/>
          <w:sz w:val="28"/>
        </w:rPr>
        <w:t>需要说明的是，本案被告人系无锡市盛龙冷弯型钢有限公司法定代表人，本案为单位犯罪，因立案时该单位已由工商局注销，根据高检</w:t>
      </w:r>
      <w:proofErr w:type="gramStart"/>
      <w:r w:rsidRPr="00657363">
        <w:rPr>
          <w:rFonts w:ascii="KaiTi" w:eastAsia="KaiTi" w:hAnsi="KaiTi" w:cs="Arial"/>
          <w:color w:val="2B2B2B"/>
          <w:sz w:val="28"/>
        </w:rPr>
        <w:t>发释[</w:t>
      </w:r>
      <w:proofErr w:type="gramEnd"/>
      <w:r w:rsidRPr="00657363">
        <w:rPr>
          <w:rFonts w:ascii="KaiTi" w:eastAsia="KaiTi" w:hAnsi="KaiTi" w:cs="Arial"/>
          <w:color w:val="2B2B2B"/>
          <w:sz w:val="28"/>
        </w:rPr>
        <w:t>2002]4号批复，“涉嫌犯罪的单位被撤销、注销、吊销营业</w:t>
      </w:r>
      <w:r w:rsidRPr="00657363">
        <w:rPr>
          <w:rFonts w:ascii="KaiTi" w:eastAsia="KaiTi" w:hAnsi="KaiTi" w:cs="Arial"/>
          <w:color w:val="2B2B2B"/>
          <w:sz w:val="28"/>
        </w:rPr>
        <w:lastRenderedPageBreak/>
        <w:t>执照或者宣告破产的，应当根据</w:t>
      </w:r>
      <w:hyperlink r:id="rId11" w:tgtFrame="_blank" w:tooltip="点击查看刑法条文" w:history="1">
        <w:r w:rsidRPr="00657363">
          <w:rPr>
            <w:rStyle w:val="a3"/>
            <w:rFonts w:ascii="KaiTi" w:eastAsia="KaiTi" w:hAnsi="KaiTi" w:cs="Arial"/>
            <w:color w:val="24890D"/>
            <w:sz w:val="28"/>
            <w:bdr w:val="none" w:sz="0" w:space="0" w:color="auto" w:frame="1"/>
          </w:rPr>
          <w:t>刑法</w:t>
        </w:r>
      </w:hyperlink>
      <w:r w:rsidRPr="00657363">
        <w:rPr>
          <w:rFonts w:ascii="KaiTi" w:eastAsia="KaiTi" w:hAnsi="KaiTi" w:cs="Arial"/>
          <w:color w:val="2B2B2B"/>
          <w:sz w:val="28"/>
        </w:rPr>
        <w:t>关于单位犯罪的相关规定，对实施犯罪行为的该单位直接负责的主管人员和直接责任人员追究刑事责任，对该单位不再追诉”。本案中被告人殷某为单位直接负责的主管人员，故应追究其刑事责任。</w:t>
      </w:r>
    </w:p>
    <w:p w:rsidR="00657363" w:rsidRPr="00657363" w:rsidRDefault="00657363" w:rsidP="00657363">
      <w:pPr>
        <w:widowControl/>
        <w:textAlignment w:val="baseline"/>
        <w:outlineLvl w:val="0"/>
        <w:rPr>
          <w:rFonts w:ascii="KaiTi" w:eastAsia="KaiTi" w:hAnsi="KaiTi" w:cs="Arial" w:hint="eastAsia"/>
          <w:caps/>
          <w:color w:val="2B2B2B"/>
          <w:kern w:val="36"/>
          <w:sz w:val="40"/>
          <w:szCs w:val="50"/>
        </w:rPr>
      </w:pPr>
    </w:p>
    <w:p w:rsidR="00034CC3" w:rsidRPr="00657363" w:rsidRDefault="00034CC3"/>
    <w:sectPr w:rsidR="00034CC3" w:rsidRPr="00657363" w:rsidSect="0039772F">
      <w:pgSz w:w="11906" w:h="16838"/>
      <w:pgMar w:top="1440" w:right="1800" w:bottom="1440" w:left="1800" w:header="720" w:footer="720" w:gutter="0"/>
      <w:cols w:space="720"/>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KaiTi">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57363"/>
    <w:rsid w:val="00034CC3"/>
    <w:rsid w:val="0039772F"/>
    <w:rsid w:val="00657363"/>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294C960"/>
  <w15:chartTrackingRefBased/>
  <w15:docId w15:val="{0F3839C6-9732-47B4-875D-BA023519E8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2"/>
        <w:lang w:val="en-US" w:eastAsia="zh-CN" w:bidi="ar-SA"/>
      </w:rPr>
    </w:rPrDefault>
    <w:pPrDefault>
      <w:pPr>
        <w:widowControl w:val="0"/>
        <w:jc w:val="both"/>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style>
  <w:style w:type="paragraph" w:styleId="1">
    <w:name w:val="heading 1"/>
    <w:basedOn w:val="a"/>
    <w:link w:val="10"/>
    <w:uiPriority w:val="9"/>
    <w:qFormat/>
    <w:rsid w:val="00657363"/>
    <w:pPr>
      <w:widowControl/>
      <w:spacing w:before="100" w:beforeAutospacing="1" w:after="100" w:afterAutospacing="1"/>
      <w:jc w:val="left"/>
      <w:outlineLvl w:val="0"/>
    </w:pPr>
    <w:rPr>
      <w:rFonts w:ascii="宋体" w:eastAsia="宋体" w:hAnsi="宋体" w:cs="宋体"/>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标题 1 字符"/>
    <w:basedOn w:val="a0"/>
    <w:link w:val="1"/>
    <w:uiPriority w:val="9"/>
    <w:rsid w:val="00657363"/>
    <w:rPr>
      <w:rFonts w:ascii="宋体" w:eastAsia="宋体" w:hAnsi="宋体" w:cs="宋体"/>
      <w:b/>
      <w:bCs/>
      <w:kern w:val="36"/>
      <w:sz w:val="48"/>
      <w:szCs w:val="48"/>
    </w:rPr>
  </w:style>
  <w:style w:type="character" w:styleId="a3">
    <w:name w:val="Hyperlink"/>
    <w:basedOn w:val="a0"/>
    <w:uiPriority w:val="99"/>
    <w:semiHidden/>
    <w:unhideWhenUsed/>
    <w:rsid w:val="00657363"/>
    <w:rPr>
      <w:color w:val="0000FF"/>
      <w:u w:val="single"/>
    </w:rPr>
  </w:style>
  <w:style w:type="paragraph" w:styleId="a4">
    <w:name w:val="Normal (Web)"/>
    <w:basedOn w:val="a"/>
    <w:uiPriority w:val="99"/>
    <w:semiHidden/>
    <w:unhideWhenUsed/>
    <w:rsid w:val="00657363"/>
    <w:pPr>
      <w:widowControl/>
      <w:spacing w:before="100" w:beforeAutospacing="1" w:after="100" w:afterAutospacing="1"/>
      <w:jc w:val="left"/>
    </w:pPr>
    <w:rPr>
      <w:rFonts w:ascii="宋体" w:eastAsia="宋体" w:hAnsi="宋体" w:cs="宋体"/>
      <w:kern w:val="0"/>
      <w:sz w:val="24"/>
      <w:szCs w:val="24"/>
    </w:rPr>
  </w:style>
  <w:style w:type="character" w:customStyle="1" w:styleId="wpkeywordlinkaffiliate">
    <w:name w:val="wp_keywordlink_affiliate"/>
    <w:basedOn w:val="a0"/>
    <w:rsid w:val="0065736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02441346">
      <w:bodyDiv w:val="1"/>
      <w:marLeft w:val="0"/>
      <w:marRight w:val="0"/>
      <w:marTop w:val="0"/>
      <w:marBottom w:val="0"/>
      <w:divBdr>
        <w:top w:val="none" w:sz="0" w:space="0" w:color="auto"/>
        <w:left w:val="none" w:sz="0" w:space="0" w:color="auto"/>
        <w:bottom w:val="none" w:sz="0" w:space="0" w:color="auto"/>
        <w:right w:val="none" w:sz="0" w:space="0" w:color="auto"/>
      </w:divBdr>
    </w:div>
    <w:div w:id="21345150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zuiming.net/zuiming/%e8%af%88%e9%aa%97%e7%bd%aa" TargetMode="Externa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yperlink" Target="http://www.zuiming.net/zuiming/%e5%90%88%e5%90%8c%e8%af%88%e9%aa%97%e7%bd%aa" TargetMode="Externa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zuiming.net/zuiming/%e8%af%88%e9%aa%97%e7%bd%aa" TargetMode="External"/><Relationship Id="rId11" Type="http://schemas.openxmlformats.org/officeDocument/2006/relationships/hyperlink" Target="http://www.zuiming.net/10.html" TargetMode="External"/><Relationship Id="rId5" Type="http://schemas.openxmlformats.org/officeDocument/2006/relationships/hyperlink" Target="http://www.zuiming.net/zuiming/%e5%90%88%e5%90%8c%e8%af%88%e9%aa%97%e7%bd%aa" TargetMode="External"/><Relationship Id="rId10" Type="http://schemas.openxmlformats.org/officeDocument/2006/relationships/hyperlink" Target="http://www.zuiming.net/10.html" TargetMode="External"/><Relationship Id="rId4" Type="http://schemas.openxmlformats.org/officeDocument/2006/relationships/hyperlink" Target="http://www.zuiming.net/zuiming/%e8%af%88%e9%aa%97%e7%bd%aa" TargetMode="External"/><Relationship Id="rId9" Type="http://schemas.openxmlformats.org/officeDocument/2006/relationships/hyperlink" Target="http://www.zuiming.net/10.html"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7</Pages>
  <Words>668</Words>
  <Characters>3810</Characters>
  <Application>Microsoft Office Word</Application>
  <DocSecurity>0</DocSecurity>
  <Lines>31</Lines>
  <Paragraphs>8</Paragraphs>
  <ScaleCrop>false</ScaleCrop>
  <Company/>
  <LinksUpToDate>false</LinksUpToDate>
  <CharactersWithSpaces>4470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Changchun Liao</dc:creator>
  <cp:keywords/>
  <dc:description/>
  <cp:lastModifiedBy>Changchun Liao</cp:lastModifiedBy>
  <cp:revision>1</cp:revision>
  <dcterms:created xsi:type="dcterms:W3CDTF">2018-11-16T09:29:00Z</dcterms:created>
  <dcterms:modified xsi:type="dcterms:W3CDTF">2018-11-16T09:30:00Z</dcterms:modified>
</cp:coreProperties>
</file>